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7.png" ContentType="image/png"/>
  <Override PartName="/word/media/rId36.png" ContentType="image/png"/>
  <Override PartName="/word/media/rId40.png" ContentType="image/png"/>
  <Override PartName="/word/media/rId32.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w:t>
      </w:r>
      <w:r>
        <w:t xml:space="preserve">,</w:t>
      </w:r>
      <w:r>
        <w:t xml:space="preserve"> </w:t>
      </w:r>
      <w:r>
        <w:t xml:space="preserve">Erika B. Gonzalez-Akre</w:t>
      </w:r>
      <w:r>
        <w:rPr>
          <w:vertAlign w:val="superscript"/>
        </w:rPr>
        <w:t xml:space="preserve">1</w:t>
      </w:r>
      <w:r>
        <w:t xml:space="preserve">,</w:t>
      </w:r>
      <w:r>
        <w:t xml:space="preserve"> </w:t>
      </w:r>
      <w:r>
        <w:t xml:space="preserve">Bianca Gonzalez</w:t>
      </w:r>
      <w:r>
        <w:rPr>
          <w:vertAlign w:val="superscript"/>
        </w:rPr>
        <w:t xml:space="preserve">1</w:t>
      </w:r>
      <w:r>
        <w:t xml:space="preserve">,</w:t>
      </w:r>
      <w:r>
        <w:t xml:space="preserve"> </w:t>
      </w:r>
      <w:r>
        <w:t xml:space="preserve">Neil Pederson</w:t>
      </w:r>
      <w:r>
        <w:rPr>
          <w:vertAlign w:val="superscript"/>
        </w:rPr>
        <w:t xml:space="preserve">#</w:t>
      </w:r>
      <w:r>
        <w:t xml:space="preserve">,</w:t>
      </w:r>
      <w:r>
        <w:t xml:space="preserve"> </w:t>
      </w:r>
      <w:r>
        <w:t xml:space="preserve">Camille Piponiot</w:t>
      </w:r>
      <w:r>
        <w:rPr>
          <w:vertAlign w:val="superscript"/>
        </w:rPr>
        <w:t xml:space="preserve">1,2</w:t>
      </w:r>
      <w:r>
        <w:t xml:space="preserve">,</w:t>
      </w:r>
      <w:r>
        <w:t xml:space="preserve"> </w:t>
      </w:r>
      <w:r>
        <w:t xml:space="preserve">Ross Alexander</w:t>
      </w:r>
      <w:r>
        <w:rPr>
          <w:vertAlign w:val="superscript"/>
        </w:rPr>
        <w:t xml:space="preserve">#</w:t>
      </w:r>
      <w:r>
        <w:t xml:space="preserve">,</w:t>
      </w:r>
      <w:r>
        <w:t xml:space="preserve"> </w:t>
      </w:r>
      <w:r>
        <w:t xml:space="preserve">Craig D. Allen,</w:t>
      </w:r>
      <w:r>
        <w:t xml:space="preserve"> </w:t>
      </w:r>
      <w:r>
        <w:t xml:space="preserve">Raquel Alfaro-Sánchez,</w:t>
      </w:r>
      <w:r>
        <w:t xml:space="preserve"> </w:t>
      </w:r>
      <w:r>
        <w:t xml:space="preserve">Jennifer Baltzar,</w:t>
      </w:r>
      <w:r>
        <w:t xml:space="preserve"> </w:t>
      </w:r>
      <w:r>
        <w:t xml:space="preserve">Patrick Baker,</w:t>
      </w:r>
      <w:r>
        <w:t xml:space="preserve"> </w:t>
      </w:r>
      <w:r>
        <w:t xml:space="preserve">Justin Cooper,</w:t>
      </w:r>
      <w:r>
        <w:t xml:space="preserve"> </w:t>
      </w:r>
      <w:r>
        <w:t xml:space="preserve">Ryan Helcoski</w:t>
      </w:r>
      <w:r>
        <w:rPr>
          <w:vertAlign w:val="superscript"/>
        </w:rPr>
        <w:t xml:space="preserve">1</w:t>
      </w:r>
      <w:r>
        <w:t xml:space="preserve">,</w:t>
      </w:r>
      <w:r>
        <w:t xml:space="preserve"> </w:t>
      </w:r>
      <w:r>
        <w:t xml:space="preserve">Vasickova Ivana,</w:t>
      </w:r>
      <w:r>
        <w:t xml:space="preserve"> </w:t>
      </w:r>
      <w:r>
        <w:t xml:space="preserve">Kaspar Jakub,</w:t>
      </w:r>
      <w:r>
        <w:t xml:space="preserve"> </w:t>
      </w:r>
      <w:r>
        <w:t xml:space="preserve">Kamil Kral,</w:t>
      </w:r>
      <w:r>
        <w:t xml:space="preserve"> </w:t>
      </w:r>
      <w:r>
        <w:t xml:space="preserve">James Lutz,</w:t>
      </w:r>
      <w:r>
        <w:t xml:space="preserve"> </w:t>
      </w:r>
      <w:r>
        <w:t xml:space="preserve">Ellis Q. Margolis,</w:t>
      </w:r>
      <w:r>
        <w:t xml:space="preserve"> </w:t>
      </w:r>
      <w:r>
        <w:t xml:space="preserve">Justin Maxwell,</w:t>
      </w:r>
      <w:r>
        <w:t xml:space="preserve"> </w:t>
      </w:r>
      <w:r>
        <w:t xml:space="preserve">Sean McMahon,</w:t>
      </w:r>
      <w:r>
        <w:t xml:space="preserve"> </w:t>
      </w:r>
      <w:r>
        <w:t xml:space="preserve">Helene Muller-Landau,</w:t>
      </w:r>
      <w:r>
        <w:t xml:space="preserve"> </w:t>
      </w:r>
      <w:r>
        <w:t xml:space="preserve">Samonil Pavil,</w:t>
      </w:r>
      <w:r>
        <w:t xml:space="preserve"> </w:t>
      </w:r>
      <w:r>
        <w:t xml:space="preserve">Anastasia Sniderhan,</w:t>
      </w:r>
      <w:r>
        <w:t xml:space="preserve"> </w:t>
      </w:r>
      <w:r>
        <w:t xml:space="preserve">Alan J. Tepley</w:t>
      </w:r>
      <w:r>
        <w:rPr>
          <w:vertAlign w:val="superscript"/>
        </w:rPr>
        <w:t xml:space="preserve">1,#</w:t>
      </w:r>
      <w:r>
        <w:t xml:space="preserve">,</w:t>
      </w:r>
      <w:r>
        <w:t xml:space="preserve"> </w:t>
      </w:r>
      <w:r>
        <w:t xml:space="preserve">Mart Vlam,</w:t>
      </w:r>
      <w:r>
        <w:t xml:space="preserve"> </w:t>
      </w:r>
      <w:r>
        <w:t xml:space="preserve">Peter Zuidema</w:t>
      </w:r>
    </w:p>
    <w:p>
      <w:pPr>
        <w:pStyle w:val="BodyText"/>
      </w:pPr>
      <w:r>
        <w:rPr>
          <w:i/>
        </w:rPr>
        <w:t xml:space="preserve">List not yet complete. Current list includes those who have contributed tree-ring data and/or intellectually, but not site PIs.</w:t>
      </w:r>
    </w:p>
    <w:p>
      <w:pPr>
        <w:pStyle w:val="BodyText"/>
      </w:pPr>
      <w:r>
        <w:rPr>
          <w:i/>
        </w:rPr>
        <w:t xml:space="preserve">other contributers may move up in the list if they contribute a lot</w:t>
      </w:r>
    </w:p>
    <w:p>
      <w:pPr>
        <w:pStyle w:val="BodyText"/>
      </w:pPr>
      <w:r>
        <w:rPr>
          <w:b/>
        </w:rPr>
        <w:t xml:space="preserve">Author Affiliations:</w:t>
      </w:r>
    </w:p>
    <w:p>
      <w:pPr>
        <w:numPr>
          <w:numId w:val="1001"/>
          <w:ilvl w:val="0"/>
        </w:numPr>
      </w:pPr>
      <w:r>
        <w:t xml:space="preserve">Conservation Ecology Center; Smithsonian Conservation Biology Institute; Front Royal, VA 22630, USA</w:t>
      </w:r>
    </w:p>
    <w:p>
      <w:pPr>
        <w:numPr>
          <w:numId w:val="1001"/>
          <w:ilvl w:val="0"/>
        </w:numPr>
      </w:pPr>
      <w:r>
        <w:t xml:space="preserve">Center for Tropical Forest Science-Forest Global Earth Observatory; Smithsonian Tropical Research Institute; Panama, Republic of Panama</w:t>
      </w:r>
    </w:p>
    <w:p>
      <w:pPr>
        <w:pStyle w:val="FirstParagraph"/>
      </w:pPr>
      <w:r>
        <w:t xml:space="preserve">X#. Harvard Forest, Petersham, MA 01366, USA</w:t>
      </w:r>
    </w:p>
    <w:p>
      <w:pPr>
        <w:pStyle w:val="BodyText"/>
      </w:pPr>
      <w:r>
        <w:t xml:space="preserve">X#. Canadian Forest Service, Northern Forestry Centre, Edmonton, Alberta, Canada</w:t>
      </w:r>
    </w:p>
    <w:p>
      <w:pPr>
        <w:pStyle w:val="BodyText"/>
      </w:pPr>
      <w:r>
        <w:t xml:space="preserve">*corresponding author:</w:t>
      </w:r>
      <w:r>
        <w:t xml:space="preserve"> </w:t>
      </w:r>
      <w:hyperlink r:id="rId20">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p>
      <w:pPr>
        <w:pStyle w:val="Heading3"/>
      </w:pPr>
      <w:bookmarkStart w:id="21" w:name="abstract"/>
      <w:r>
        <w:t xml:space="preserve">Abstract</w:t>
      </w:r>
      <w:bookmarkEnd w:id="21"/>
    </w:p>
    <w:p>
      <w:pPr>
        <w:numPr>
          <w:numId w:val="1002"/>
          <w:ilvl w:val="0"/>
        </w:numPr>
      </w:pPr>
      <w:r>
        <w:t xml:space="preserve">Tree rings provide a valuable long-term record for understanding how climate and other environmental drivers shape forest productivity, yet traditional analysis methods have not been designed to simultaneously account for the effects of tree size, climate, and other environmental drivers such as atmospheric CO</w:t>
      </w:r>
      <w:r>
        <w:rPr>
          <w:vertAlign w:val="subscript"/>
        </w:rPr>
        <w:t xml:space="preserve">2</w:t>
      </w:r>
      <w:r>
        <w:t xml:space="preserve">. This has limited the potential to use tree-rings to understand forest productivity in the current era of rapid environmental change.</w:t>
      </w:r>
    </w:p>
    <w:p>
      <w:pPr>
        <w:numPr>
          <w:numId w:val="1002"/>
          <w:ilvl w:val="0"/>
        </w:numPr>
      </w:pPr>
      <w:r>
        <w:t xml:space="preserve">Here, we develop a new method that allows simultaneous non-linear modeling of the effects of tree diameter, objectively determined principle climate drivers, and other environmental drivers on annual tree growth.</w:t>
      </w:r>
      <w:r>
        <w:t xml:space="preserve"> </w:t>
      </w:r>
      <w:r>
        <w:t xml:space="preserve">Specifically, we first identify the most important climate drivers using the climwin R package.</w:t>
      </w:r>
      <w:r>
        <w:t xml:space="preserve"> </w:t>
      </w:r>
      <w:r>
        <w:t xml:space="preserve">We then include these in generalized least squares models that simultaneously fit the detrending splines needed to pull out climate signals and flexibly account for nonlinearity of responses to tree diameter, climate variables, and other environmental drivers.</w:t>
      </w:r>
      <w:r>
        <w:t xml:space="preserve"> </w:t>
      </w:r>
      <w:r>
        <w:t xml:space="preserve">We apply this method to tree-ring data from</w:t>
      </w:r>
      <w:r>
        <w:t xml:space="preserve"> </w:t>
      </w:r>
      <w:r>
        <w:rPr>
          <w:b/>
        </w:rPr>
        <w:t xml:space="preserve">#</w:t>
      </w:r>
      <w:r>
        <w:t xml:space="preserve"> </w:t>
      </w:r>
      <w:r>
        <w:t xml:space="preserve">species at</w:t>
      </w:r>
      <w:r>
        <w:t xml:space="preserve"> </w:t>
      </w:r>
      <w:r>
        <w:rPr>
          <w:b/>
        </w:rPr>
        <w:t xml:space="preserve">nine/ten</w:t>
      </w:r>
      <w:r>
        <w:t xml:space="preserve"> </w:t>
      </w:r>
      <w:r>
        <w:t xml:space="preserve">globally distributed sites spanning a wide range of forest types.</w:t>
      </w:r>
    </w:p>
    <w:p>
      <w:pPr>
        <w:numPr>
          <w:numId w:val="1002"/>
          <w:ilvl w:val="0"/>
        </w:numPr>
      </w:pPr>
      <w:r>
        <w:t xml:space="preserve">Our analysis identified similar climate drivers to those obtained via traditional methods, but revealed that non-linear responses to climate variables were common. Radial growth increments, basal area increments, and biomass increments all varied non-linearly with tree diameter.</w:t>
      </w:r>
      <w:r>
        <w:t xml:space="preserve"> </w:t>
      </w:r>
      <w:hyperlink r:id="rId22">
        <w:r>
          <w:rPr>
            <w:rStyle w:val="Hyperlink"/>
          </w:rPr>
          <w:t xml:space="preserve">** something about CO2, maybe atmospheric deposition**</w:t>
        </w:r>
      </w:hyperlink>
    </w:p>
    <w:p>
      <w:pPr>
        <w:numPr>
          <w:numId w:val="1002"/>
          <w:ilvl w:val="0"/>
        </w:numPr>
      </w:pPr>
      <w:r>
        <w:t xml:space="preserve">Our method provides a novel approach to objectively identifying the most important climate drivers of tree growth and combining them with tree diameter and other environmental drivers in nonlinear models.</w:t>
      </w:r>
      <w:r>
        <w:t xml:space="preserve"> </w:t>
      </w:r>
      <w:r>
        <w:t xml:space="preserve">Our finding that nonlinear growth responses to climate variables are common contrasts with the assumption behind most contemporary dendrochonological analyses of the climate sensitivity of tree growth, but is consistent with physiological and ecological studies showing that biological rates often respond nonlinearly to climate drivers.</w:t>
      </w:r>
      <w:r>
        <w:t xml:space="preserve"> </w:t>
      </w:r>
      <w:r>
        <w:t xml:space="preserve">The nonlinear relationship between tree diameter and growth rate implies that no metric of growth can be assumed independent of tree size, and therefore diameter must be accounted for in analyses seeking to quantify the impact of CO</w:t>
      </w:r>
      <w:r>
        <w:rPr>
          <w:vertAlign w:val="subscript"/>
        </w:rPr>
        <w:t xml:space="preserve">2</w:t>
      </w:r>
      <w:r>
        <w:t xml:space="preserve"> </w:t>
      </w:r>
      <w:r>
        <w:t xml:space="preserve">or other slowly-changing environmental drivers on tree growth.</w:t>
      </w:r>
      <w:r>
        <w:t xml:space="preserve"> </w:t>
      </w:r>
      <w:r>
        <w:t xml:space="preserve">In making this possible, our approach opens the door to improved understanding of forest repsonses to global change based on tree-ring records.</w:t>
      </w:r>
    </w:p>
    <w:p>
      <w:pPr>
        <w:pStyle w:val="FirstParagraph"/>
      </w:pPr>
      <w:r>
        <w:rPr>
          <w:b/>
        </w:rPr>
        <w:t xml:space="preserve">Keywords</w:t>
      </w:r>
      <w:r>
        <w:t xml:space="preserve">: carbon dioxide (CO</w:t>
      </w:r>
      <w:r>
        <w:rPr>
          <w:vertAlign w:val="subscript"/>
        </w:rPr>
        <w:t xml:space="preserve">2</w:t>
      </w:r>
      <w:r>
        <w:t xml:space="preserve">); climate sensitivity; diameter; environmental change; Forest Global Earth Observatory (ForestGEO); generalized least squares; nonlinear; tree-ring</w:t>
      </w:r>
    </w:p>
    <w:p>
      <w:r>
        <w:br w:type="page"/>
      </w:r>
    </w:p>
    <w:p>
      <w:pPr>
        <w:pStyle w:val="Heading3"/>
      </w:pPr>
      <w:bookmarkStart w:id="23" w:name="introduction"/>
      <w:r>
        <w:t xml:space="preserve">Introduction</w:t>
      </w:r>
      <w:bookmarkEnd w:id="23"/>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 (REFS) 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They may also be used to examine how tree growth is responding to pollution, including increasing atmospheric CO</w:t>
      </w:r>
      <w:r>
        <w:rPr>
          <w:vertAlign w:val="subscript"/>
        </w:rPr>
        <w:t xml:space="preserve">2</w:t>
      </w:r>
      <w:r>
        <w:t xml:space="preserve"> </w:t>
      </w:r>
      <w:r>
        <w:t xml:space="preserve">(reviewed in</w:t>
      </w:r>
      <w:r>
        <w:t xml:space="preserve"> </w:t>
      </w:r>
      <w:r>
        <w:rPr>
          <w:i/>
        </w:rPr>
        <w:t xml:space="preserve">Walker et al. in press</w:t>
      </w:r>
      <w:r>
        <w:t xml:space="preserve">) and deposition of pollutants including sulfur dioxide (SO</w:t>
      </w:r>
      <w:r>
        <w:rPr>
          <w:vertAlign w:val="subscript"/>
        </w:rPr>
        <w:t xml:space="preserve">2</w:t>
      </w:r>
      <w:r>
        <w:t xml:space="preserve">) and nitrogen oxides (NO</w:t>
      </w:r>
      <w:r>
        <w:rPr>
          <w:vertAlign w:val="subscript"/>
        </w:rPr>
        <w:t xml:space="preserve">x</w:t>
      </w:r>
      <w:r>
        <w:t xml:space="preserve">)</w:t>
      </w:r>
      <w:r>
        <w:t xml:space="preserve"> </w:t>
      </w:r>
      <w:r>
        <w:t xml:space="preserve">(Mathias &amp; Thomas, 2018)</w:t>
      </w:r>
      <w:r>
        <w:t xml:space="preserve">.</w:t>
      </w:r>
      <w:r>
        <w:t xml:space="preserve"> </w:t>
      </w:r>
      <w:r>
        <w:t xml:space="preserve">This information is critical to predicting forest responses to climate change (</w:t>
      </w:r>
      <w:r>
        <w:rPr>
          <w:i/>
        </w:rPr>
        <w:t xml:space="preserve">Walker et al. in press</w:t>
      </w:r>
      <w:r>
        <w:t xml:space="preserve">; REFS),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(DENDRO REFS)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w:t>
      </w:r>
      <w:r>
        <w:t xml:space="preserve">(Tolwinski-Ward, Anchukaitis, &amp; Evans, 2013)</w:t>
      </w:r>
      <w:r>
        <w:t xml:space="preserve">),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(most commonly diameter breast height,</w:t>
      </w:r>
      <w:r>
        <w:t xml:space="preserve"> </w:t>
      </w:r>
      <m:oMath>
        <m:r>
          <m:t>D</m:t>
        </m:r>
        <m:r>
          <m:t>B</m:t>
        </m:r>
        <m:r>
          <m:t>H</m:t>
        </m:r>
      </m:oMath>
      <w:r>
        <w:t xml:space="preserve">) is among the most important variables affecting tree growth rate [</w:t>
      </w:r>
      <w:r>
        <w:t xml:space="preserve">Muller-Landau et al. (2006)</w:t>
      </w:r>
      <w:r>
        <w:t xml:space="preserve">;</w:t>
      </w:r>
      <w:r>
        <w:t xml:space="preserve"> </w:t>
      </w:r>
      <w:r>
        <w:t xml:space="preserve">Foster, Finley, D’Amato, Bradford, &amp; Banerjee (2016)</w:t>
      </w:r>
      <w:r>
        <w:t xml:space="preserve">;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w:t>
      </w:r>
      <w:r>
        <w:t xml:space="preserve"> </w:t>
      </w:r>
      <w:r>
        <w:t xml:space="preserve">Muller-Landau et al. (2006)</w:t>
      </w:r>
      <w:r>
        <w:t xml:space="preserve">;</w:t>
      </w:r>
      <w:r>
        <w:t xml:space="preserve"> </w:t>
      </w:r>
      <w:r>
        <w:t xml:space="preserve">Anderson-Teixeira, McGarvey, et al. (2015)</w:t>
      </w:r>
      <w:r>
        <w:t xml:space="preserve">;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w:t>
      </w:r>
      <w:r>
        <w:t xml:space="preserve">Bennett, McDowell, Allen, &amp; Anderson-Teixeira (2015)</w:t>
      </w:r>
      <w:r>
        <w:t xml:space="preserve"> </w:t>
      </w:r>
      <w:r>
        <w:t xml:space="preserve">;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we develop a new method that allows simultaneous consideration of the effects of tree size, objectively determined principle climate drivers, and other environmental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r>
        <w:t xml:space="preserve">Materials and Methods</w:t>
      </w:r>
      <w:bookmarkEnd w:id="25"/>
    </w:p>
    <w:p>
      <w:pPr>
        <w:pStyle w:val="Heading4"/>
      </w:pPr>
      <w:bookmarkStart w:id="26" w:name="data-sources-and-preparation"/>
      <w:r>
        <w:t xml:space="preserve">Data sources and preparation</w:t>
      </w:r>
      <w:bookmarkEnd w:id="26"/>
    </w:p>
    <w:p>
      <w:pPr>
        <w:pStyle w:val="FirstParagraph"/>
      </w:pPr>
      <w:r>
        <w:t xml:space="preserve">We analyzed previously collected tree-ring data from # sites of the Forest Global Earth Observatory</w:t>
      </w:r>
      <w:r>
        <w:t xml:space="preserve"> </w:t>
      </w:r>
      <w:r>
        <w:t xml:space="preserve">(ForestGEO; Anderson-Teixeira, Davies, et al., 2015)</w:t>
      </w:r>
      <w:r>
        <w:t xml:space="preserve">, plus one in New Mexico,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w:t>
      </w:r>
      <w:r>
        <w:t xml:space="preserve">Vlam, Baker, Bunyavejchewin, &amp; Zuidema (2014)</w:t>
      </w:r>
      <w:r>
        <w:t xml:space="preserve">;</w:t>
      </w:r>
      <w:r>
        <w:t xml:space="preserve"> </w:t>
      </w:r>
      <w:r>
        <w:t xml:space="preserve">Maxwell et al. (2016)</w:t>
      </w:r>
      <w:r>
        <w:t xml:space="preserve">;</w:t>
      </w:r>
      <w:r>
        <w:t xml:space="preserve"> </w:t>
      </w:r>
      <w:r>
        <w:t xml:space="preserve">Sniderhan &amp; Baltzer (2016)</w:t>
      </w:r>
      <w:r>
        <w:t xml:space="preserve">;</w:t>
      </w:r>
      <w:r>
        <w:t xml:space="preserve"> </w:t>
      </w:r>
      <w:r>
        <w:t xml:space="preserve">Tumajer et al. (2017)</w:t>
      </w:r>
      <w:r>
        <w:t xml:space="preserve">;</w:t>
      </w:r>
      <w:r>
        <w:t xml:space="preserve"> </w:t>
      </w:r>
      <w:r>
        <w:t xml:space="preserve">Alfaro-Sánchez, Muller-Landau, Wright, &amp; Camarero (2017)</w:t>
      </w:r>
      <w:r>
        <w:t xml:space="preserve">;</w:t>
      </w:r>
      <w:r>
        <w:t xml:space="preserve"> </w:t>
      </w:r>
      <w:r>
        <w:t xml:space="preserve">Helcoski et al. (2019)</w:t>
      </w:r>
      <w:r>
        <w:t xml:space="preserve">; MORE].</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2227012"/>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2227012"/>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w:t>
      </w:r>
      <w:r>
        <w:t xml:space="preserve"> </w:t>
      </w:r>
      <w:r>
        <w:t xml:space="preserve">(Cailleret et al., 2017)</w:t>
      </w:r>
      <w:r>
        <w:t xml:space="preserve"> </w:t>
      </w:r>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w:t>
      </w:r>
      <w:r>
        <w:t xml:space="preserve"> </w:t>
      </w:r>
      <w:r>
        <w:rPr>
          <w:i/>
        </w:rPr>
        <w:t xml:space="preserve">Appendix S1</w:t>
      </w:r>
      <w:r>
        <w:t xml:space="preserve">.</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v.4.04</w:t>
      </w:r>
      <w:r>
        <w:t xml:space="preserve"> </w:t>
      </w:r>
      <w:r>
        <w:t xml:space="preserve">(Harris, Jones, Osborn, &amp; Lister, 2014; Harris, Osborn, Jones, &amp; Lister, 2020)</w:t>
      </w:r>
      <w:r>
        <w:t xml:space="preserve">. Variables considered here included mean, minimum, and maximum temperatures; daily temperture range; precipitation; wet day frequency; cloud cover; and potential evapotranspiration (PET). In the CRU database, gaps are filled with monthly means… (</w:t>
      </w:r>
      <w:hyperlink r:id="rId28">
        <w:r>
          <w:rPr>
            <w:rStyle w:val="Hyperlink"/>
            <w:b/>
          </w:rPr>
          <w:t xml:space="preserve">ISSUE #45 in ForestGEO_climate-senstivity</w:t>
        </w:r>
      </w:hyperlink>
      <w:r>
        <w:rPr>
          <w:b/>
        </w:rPr>
        <w:t xml:space="preserve">: handling gaps</w:t>
      </w:r>
      <w:r>
        <w:t xml:space="preserve">).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r>
        <w:t xml:space="preserve">Analysis methods</w:t>
      </w:r>
      <w:bookmarkEnd w:id="31"/>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CaptionedFigure"/>
      </w:pPr>
      <w:r>
        <w:drawing>
          <wp:inline>
            <wp:extent cx="5334000" cy="3591344"/>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w:t>
      </w:r>
      <w:r>
        <w:t xml:space="preserve"> </w:t>
      </w:r>
      <w:r>
        <w:t xml:space="preserve">(Harris et al., 2014, 2020)</w:t>
      </w:r>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r>
        <w:t xml:space="preserve">(Pol et al., 2016)</w:t>
      </w:r>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We began by verifying that</w:t>
      </w:r>
      <w:r>
        <w:t xml:space="preserve"> </w:t>
      </w:r>
      <w:r>
        <w:rPr>
          <w:i/>
        </w:rPr>
        <w:t xml:space="preserve">climwin</w:t>
      </w:r>
      <w:r>
        <w:t xml:space="preserve"> </w:t>
      </w:r>
      <w:r>
        <w:t xml:space="preserve">identified similar climate variable-month combinations as what would be identified using traditional methods, as detailed in Appendix S2. (**</w:t>
      </w:r>
      <w:hyperlink r:id="rId33">
        <w:r>
          <w:rPr>
            <w:rStyle w:val="Hyperlink"/>
          </w:rPr>
          <w:t xml:space="preserve">ISSUE #35 in ForestGEO-climate-sensitivity</w:t>
        </w:r>
      </w:hyperlink>
      <w:r>
        <w:t xml:space="preserve">)</w:t>
      </w:r>
    </w:p>
    <w:p>
      <w:pPr>
        <w:pStyle w:val="BodyText"/>
      </w:pPr>
      <w:r>
        <w:t xml:space="preserve">Within</w:t>
      </w:r>
      <w:r>
        <w:t xml:space="preserve"> </w:t>
      </w:r>
      <w:r>
        <w:rPr>
          <w:i/>
        </w:rPr>
        <w:t xml:space="preserve">climwin</w:t>
      </w:r>
      <w:r>
        <w:t xml:space="preserve">, we specified a mixed effects model using species and tree identity as random effects:</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w:t>
      </w:r>
      <w:r>
        <w:t xml:space="preserve"> </w:t>
      </w:r>
      <w:r>
        <w:t xml:space="preserve">(Pol et al., 2016)</w:t>
      </w:r>
      <w:r>
        <w:t xml:space="preserve">.</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If PET came out as the best variable in both temperature and cloud cover groups, there were only two candidate variables for the GAM.</w:t>
      </w:r>
      <w:r>
        <w:t xml:space="preserve"> </w:t>
      </w:r>
      <w:r>
        <w:t xml:space="preserve">If it came out as the best variable in one but not both of these groups, it was dropped from the analysis, on the logic that it was an inferior predictor to a related variable.</w:t>
      </w:r>
      <w:r>
        <w:t xml:space="preserve"> </w:t>
      </w:r>
      <w:r>
        <w:t xml:space="preserve">We checked for colinearity among the selected climate variables and removed any variable with a variance inflation factor &gt; 10.</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m:t>
            </m:r>
          </m:e>
          <m:sup>
            <m:r>
              <m:t>∘</m:t>
            </m:r>
          </m:sup>
        </m:sSup>
      </m:oMath>
      <w:r>
        <w:t xml:space="preserve"> </w:t>
      </w:r>
      <w:r>
        <w:t xml:space="preserve">over X years]…, resulting in negative growth trends in basal area index (BAI) starting around 1950 and significant growth declines since 1970 in 56% of trees</w:t>
      </w:r>
      <w:r>
        <w:t xml:space="preserve"> </w:t>
      </w:r>
      <w:r>
        <w:t xml:space="preserve">(Sniderhan &amp; Baltzer, 2016)</w:t>
      </w:r>
      <w:r>
        <w:t xml:space="preserve">.</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4">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5" w:name="results"/>
      <w:r>
        <w:t xml:space="preserve">Results</w:t>
      </w:r>
      <w:bookmarkEnd w:id="35"/>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(Figs. 2, S#; Appendix S2).</w:t>
      </w:r>
    </w:p>
    <w:p>
      <w:pPr>
        <w:pStyle w:val="CaptionedFigure"/>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title=""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6"/>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variables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temperature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CaptionedFigure"/>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title=""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7"/>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exhibited a unimodal relationship (Fig. 4b).</w:t>
      </w:r>
      <w:r>
        <w:t xml:space="preserve"> </w:t>
      </w:r>
      <m:oMath>
        <m:r>
          <m:t>Δ</m:t>
        </m:r>
        <m:r>
          <m:t>A</m:t>
        </m:r>
        <m:r>
          <m:t>G</m:t>
        </m:r>
        <m:r>
          <m:t>B</m:t>
        </m:r>
      </m:oMath>
      <w:r>
        <w:t xml:space="preserve"> </w:t>
      </w:r>
      <w:r>
        <w:t xml:space="preserve">also commonly exhibited a unimodal relationship, although tending to peak at larger DBH (Fig. 4c).</w:t>
      </w:r>
    </w:p>
    <w:p>
      <w:pPr>
        <w:pStyle w:val="CaptionedFigure"/>
      </w:pPr>
      <w:r>
        <w:drawing>
          <wp:inline>
            <wp:extent cx="5334000" cy="6667499"/>
            <wp:effectExtent b="0" l="0" r="0" t="0"/>
            <wp:docPr descr="Figure 4 | Growth sensitivity to DBH: (a) \Delta r, (b) BAI, (c) \Delta AGB. It’s tough to fit all the plots, so we may have to adjust this somehow."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8"/>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Δ</m:t>
        </m:r>
        <m:r>
          <m:t>r</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It’s tough to fit all the plots, so we may have to adjust this somehow.</w:t>
      </w:r>
    </w:p>
    <w:p>
      <w:pPr>
        <w:pStyle w:val="BodyText"/>
      </w:pPr>
      <w:r>
        <w:rPr>
          <w:i/>
        </w:rPr>
        <w:t xml:space="preserve">Climate-DBH interactions</w:t>
      </w:r>
    </w:p>
    <w:p>
      <w:pPr>
        <w:pStyle w:val="BodyText"/>
      </w:pPr>
      <w:r>
        <w:t xml:space="preserve">We get different climate sensitivity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generally similar across the three metrics of growth, but that the optimal time window or even the top climate variable in a group can shift.</w:t>
      </w:r>
      <w:r>
        <w:t xml:space="preserve"> </w:t>
      </w:r>
      <w:r>
        <w:t xml:space="preserve">(</w:t>
      </w:r>
      <w:r>
        <w:rPr>
          <w:b/>
        </w:rPr>
        <w:t xml:space="preserve">See</w:t>
      </w:r>
      <w:r>
        <w:rPr>
          <w:b/>
        </w:rPr>
        <w:t xml:space="preserve"> </w:t>
      </w:r>
      <w:hyperlink r:id="rId39">
        <w:r>
          <w:rPr>
            <w:rStyle w:val="Hyperlink"/>
            <w:b/>
          </w:rPr>
          <w:t xml:space="preserve">ISSUE #40 in ForestGEO-climate-sensitivity</w:t>
        </w:r>
      </w:hyperlink>
      <w:r>
        <w:t xml:space="preserve">).</w:t>
      </w:r>
    </w:p>
    <w:p>
      <w:pPr>
        <w:pStyle w:val="BodyText"/>
      </w:pP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intermediate (Fig. 4). (</w:t>
      </w:r>
      <w:r>
        <w:rPr>
          <w:b/>
        </w:rPr>
        <w:t xml:space="preserve">Christy, please check/revise</w:t>
      </w:r>
      <w:r>
        <w:t xml:space="preserve">)</w:t>
      </w:r>
      <w:r>
        <w:t xml:space="preserve"> </w:t>
      </w:r>
      <w:r>
        <w:t xml:space="preserve">The degree to which climate sensitivity landscapes differ across growth metrics should depend on the size structure of the data and the existence/strength of climate-DBH interactions.</w:t>
      </w:r>
    </w:p>
    <w:p>
      <w:pPr>
        <w:pStyle w:val="CaptionedFigure"/>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title=""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0"/>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 figure on climate - DBH interactions?</w:t>
      </w:r>
      <w:r>
        <w:t xml:space="preserve"> </w:t>
      </w:r>
      <w:r>
        <w:t xml:space="preserve">(</w:t>
      </w:r>
      <w:r>
        <w:rPr>
          <w:i/>
        </w:rPr>
        <w:t xml:space="preserve">See</w:t>
      </w:r>
      <w:r>
        <w:rPr>
          <w:i/>
        </w:rPr>
        <w:t xml:space="preserve"> </w:t>
      </w:r>
      <w:hyperlink r:id="rId41">
        <w:r>
          <w:rPr>
            <w:rStyle w:val="Hyperlink"/>
            <w:i/>
          </w:rPr>
          <w:t xml:space="preserve">ISSUE #42 in ForestGEO-climate-sensitivity</w:t>
        </w:r>
      </w:hyperlink>
      <w:r>
        <w:t xml:space="preserve">)</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2" w:name="discussion"/>
      <w:r>
        <w:t xml:space="preserve">Discussion</w:t>
      </w:r>
      <w:bookmarkEnd w:id="42"/>
    </w:p>
    <w:p>
      <w:pPr>
        <w:pStyle w:val="FirstParagraph"/>
      </w:pPr>
      <w:r>
        <w:rPr>
          <w:b/>
        </w:rPr>
        <w:t xml:space="preserve">We present a new method that allows simultaneous consideration of the effects of tree size, objectively determined principle climate drivers, and other environmental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climate is rapidly changing</w:t>
      </w:r>
      <w:r>
        <w:t xml:space="preserve"> </w:t>
      </w:r>
      <w:hyperlink r:id="rId34">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that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patterns observed at the stand level [</w:t>
      </w:r>
      <w:r>
        <w:t xml:space="preserve">Muller-Landau et al. (2006)</w:t>
      </w:r>
      <w:r>
        <w:t xml:space="preserve">;</w:t>
      </w:r>
      <w:r>
        <w:t xml:space="preserve"> </w:t>
      </w:r>
      <w:r>
        <w:t xml:space="preserve">Anderson-Teixeira, McGarvey, et al. (2015)</w:t>
      </w:r>
      <w:r>
        <w:t xml:space="preserve">; Piponiot et al. in prep]– presumably because [the sample of cored trees (survivors) doesn’t match forest composition] (</w:t>
      </w:r>
      <w:r>
        <w:rPr>
          <w:i/>
        </w:rPr>
        <w:t xml:space="preserve">cite paper that I reviewed several years back;</w:t>
      </w:r>
      <w:r>
        <w:rPr>
          <w:i/>
        </w:rPr>
        <w:t xml:space="preserve"> </w:t>
      </w:r>
      <w:hyperlink r:id="rId43">
        <w:r>
          <w:rPr>
            <w:rStyle w:val="Hyperlink"/>
            <w:i/>
          </w:rPr>
          <w:t xml:space="preserve">Clark et al. 2007?</w:t>
        </w:r>
      </w:hyperlink>
      <w:r>
        <w:rPr>
          <w:i/>
        </w:rPr>
        <w:t xml:space="preserve">;</w:t>
      </w:r>
      <w:r>
        <w:rPr>
          <w:i/>
        </w:rPr>
        <w:t xml:space="preserve"> </w:t>
      </w:r>
      <w:hyperlink r:id="rId44">
        <w:r>
          <w:rPr>
            <w:rStyle w:val="Hyperlink"/>
            <w:i/>
          </w:rPr>
          <w:t xml:space="preserve">Schleip et al. 2015</w:t>
        </w:r>
      </w:hyperlink>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5" w:name="acknowledgements"/>
      <w:r>
        <w:t xml:space="preserve">Acknowledgements</w:t>
      </w:r>
      <w:bookmarkEnd w:id="45"/>
    </w:p>
    <w:p>
      <w:pPr>
        <w:pStyle w:val="FirstParagraph"/>
      </w:pPr>
      <w:r>
        <w:t xml:space="preserve">Scholarly Studies</w:t>
      </w:r>
    </w:p>
    <w:p>
      <w:pPr>
        <w:pStyle w:val="Heading3"/>
      </w:pPr>
      <w:bookmarkStart w:id="46" w:name="authors-contributions"/>
      <w:r>
        <w:t xml:space="preserve">Authors’ contributions</w:t>
      </w:r>
      <w:bookmarkEnd w:id="46"/>
    </w:p>
    <w:p>
      <w:pPr>
        <w:pStyle w:val="Heading3"/>
      </w:pPr>
      <w:bookmarkStart w:id="47" w:name="references"/>
      <w:r>
        <w:t xml:space="preserve">References</w:t>
      </w:r>
      <w:bookmarkEnd w:id="47"/>
    </w:p>
    <w:bookmarkStart w:id="94" w:name="refs"/>
    <w:bookmarkStart w:id="4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r>
        <w:rPr>
          <w:i/>
        </w:rPr>
        <w:t xml:space="preserve">184</w:t>
      </w:r>
      <w:r>
        <w:t xml:space="preserve">(2), 531–541. doi:</w:t>
      </w:r>
      <w:hyperlink r:id="rId48">
        <w:r>
          <w:rPr>
            <w:rStyle w:val="Hyperlink"/>
          </w:rPr>
          <w:t xml:space="preserve">10.1007/s00442-017-3879-3</w:t>
        </w:r>
      </w:hyperlink>
    </w:p>
    <w:bookmarkEnd w:id="49"/>
    <w:bookmarkStart w:id="51" w:name="X9500a36d1b54456ba99312b61e732f214f264df"/>
    <w:p>
      <w:pPr>
        <w:pStyle w:val="Bibliography"/>
      </w:pPr>
      <w:r>
        <w:t xml:space="preserve">Anderson-Teixeira, K. J., Davies, S. J., Bennett, A. C., Gonzalez-Akre, E. B., Muller-Landau, H. C., Joseph Wright, S., … Zimmerman, J. (2015). CTFS-ForestGEO: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50">
        <w:r>
          <w:rPr>
            <w:rStyle w:val="Hyperlink"/>
          </w:rPr>
          <w:t xml:space="preserve">10.1111/gcb.12712</w:t>
        </w:r>
      </w:hyperlink>
    </w:p>
    <w:bookmarkEnd w:id="51"/>
    <w:bookmarkStart w:id="53"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52">
        <w:r>
          <w:rPr>
            <w:rStyle w:val="Hyperlink"/>
          </w:rPr>
          <w:t xml:space="preserve">10.1111/1365-2435.12470</w:t>
        </w:r>
      </w:hyperlink>
    </w:p>
    <w:bookmarkEnd w:id="53"/>
    <w:bookmarkStart w:id="5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54">
        <w:r>
          <w:rPr>
            <w:rStyle w:val="Hyperlink"/>
          </w:rPr>
          <w:t xml:space="preserve">10.1038/nplants.2015.139</w:t>
        </w:r>
      </w:hyperlink>
    </w:p>
    <w:bookmarkEnd w:id="55"/>
    <w:bookmarkStart w:id="57"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56">
        <w:r>
          <w:rPr>
            <w:rStyle w:val="Hyperlink"/>
          </w:rPr>
          <w:t xml:space="preserve">10.1111/gcb.13535</w:t>
        </w:r>
      </w:hyperlink>
    </w:p>
    <w:bookmarkEnd w:id="57"/>
    <w:bookmarkStart w:id="59"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58">
        <w:r>
          <w:rPr>
            <w:rStyle w:val="Hyperlink"/>
          </w:rPr>
          <w:t xml:space="preserve">10.1111/ele.12650</w:t>
        </w:r>
      </w:hyperlink>
    </w:p>
    <w:bookmarkEnd w:id="59"/>
    <w:bookmarkStart w:id="61"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60">
        <w:r>
          <w:rPr>
            <w:rStyle w:val="Hyperlink"/>
          </w:rPr>
          <w:t xml:space="preserve">10.1111/gcb.13208</w:t>
        </w:r>
      </w:hyperlink>
    </w:p>
    <w:bookmarkEnd w:id="61"/>
    <w:bookmarkStart w:id="63" w:name="ref-friedlingstein_climatecarbon_2006"/>
    <w:p>
      <w:pPr>
        <w:pStyle w:val="Bibliography"/>
      </w:pPr>
      <w:r>
        <w:t xml:space="preserve">Friedlingstein, P., Cox, P., Betts, R., Bopp, L., Bloh, W. von,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62">
        <w:r>
          <w:rPr>
            <w:rStyle w:val="Hyperlink"/>
          </w:rPr>
          <w:t xml:space="preserve">10.1175/JCLI3800.1</w:t>
        </w:r>
      </w:hyperlink>
    </w:p>
    <w:bookmarkEnd w:id="63"/>
    <w:bookmarkStart w:id="6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64">
        <w:r>
          <w:rPr>
            <w:rStyle w:val="Hyperlink"/>
          </w:rPr>
          <w:t xml:space="preserve">10.2307/1937545</w:t>
        </w:r>
      </w:hyperlink>
    </w:p>
    <w:bookmarkEnd w:id="65"/>
    <w:bookmarkStart w:id="67"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66">
        <w:r>
          <w:rPr>
            <w:rStyle w:val="Hyperlink"/>
          </w:rPr>
          <w:t xml:space="preserve">10.1002/joc.3711</w:t>
        </w:r>
      </w:hyperlink>
    </w:p>
    <w:bookmarkEnd w:id="67"/>
    <w:bookmarkStart w:id="69"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68">
        <w:r>
          <w:rPr>
            <w:rStyle w:val="Hyperlink"/>
          </w:rPr>
          <w:t xml:space="preserve">10.1038/s41597-020-0453-3</w:t>
        </w:r>
      </w:hyperlink>
    </w:p>
    <w:bookmarkEnd w:id="69"/>
    <w:bookmarkStart w:id="71"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70">
        <w:r>
          <w:rPr>
            <w:rStyle w:val="Hyperlink"/>
          </w:rPr>
          <w:t xml:space="preserve">10.1111/nph.15906</w:t>
        </w:r>
      </w:hyperlink>
    </w:p>
    <w:bookmarkEnd w:id="71"/>
    <w:bookmarkStart w:id="73"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72">
        <w:r>
          <w:rPr>
            <w:rStyle w:val="Hyperlink"/>
          </w:rPr>
          <w:t xml:space="preserve">10.1038/s41467-018-07800-y</w:t>
        </w:r>
      </w:hyperlink>
    </w:p>
    <w:bookmarkEnd w:id="73"/>
    <w:bookmarkStart w:id="75" w:name="ref-mathias_disentangling_2018"/>
    <w:p>
      <w:pPr>
        <w:pStyle w:val="Bibliography"/>
      </w:pPr>
      <w:r>
        <w:t xml:space="preserve">Mathias, J. M., &amp; Thomas, R. B. (2018). Disentangling the effects of acidic air pollution, atmospheric CO</w:t>
      </w:r>
      <w:r>
        <w:t xml:space="preserve"> </w:t>
      </w:r>
      <m:oMath>
        <m:sSub>
          <m:e>
            <m:r>
              <m:t>​</m:t>
            </m:r>
          </m:e>
          <m:sub>
            <m:r>
              <m:rPr>
                <m:nor/>
                <m:sty m:val="p"/>
              </m:rPr>
              <m:t>2</m:t>
            </m:r>
          </m:sub>
        </m:sSub>
      </m:oMath>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r>
        <w:rPr>
          <w:i/>
        </w:rPr>
        <w:t xml:space="preserve">24</w:t>
      </w:r>
      <w:r>
        <w:t xml:space="preserve">(9), 3938–3953. doi:</w:t>
      </w:r>
      <w:hyperlink r:id="rId74">
        <w:r>
          <w:rPr>
            <w:rStyle w:val="Hyperlink"/>
          </w:rPr>
          <w:t xml:space="preserve">10.1111/gcb.14273</w:t>
        </w:r>
      </w:hyperlink>
    </w:p>
    <w:bookmarkEnd w:id="75"/>
    <w:bookmarkStart w:id="77"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76">
        <w:r>
          <w:rPr>
            <w:rStyle w:val="Hyperlink"/>
          </w:rPr>
          <w:t xml:space="preserve">10.1007/s10584-016-1720-3</w:t>
        </w:r>
      </w:hyperlink>
    </w:p>
    <w:bookmarkEnd w:id="77"/>
    <w:bookmarkStart w:id="79"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 Retrieved from</w:t>
      </w:r>
      <w:r>
        <w:t xml:space="preserve"> </w:t>
      </w:r>
      <w:hyperlink r:id="rId78">
        <w:r>
          <w:rPr>
            <w:rStyle w:val="Hyperlink"/>
          </w:rPr>
          <w:t xml:space="preserve">http://www.blackwell-synergy.com/doi/abs/10.1111/j.1461-0248.2006.00904.x</w:t>
        </w:r>
      </w:hyperlink>
    </w:p>
    <w:bookmarkEnd w:id="79"/>
    <w:bookmarkStart w:id="81" w:name="ref-van_de_pol_identifying_2016"/>
    <w:p>
      <w:pPr>
        <w:pStyle w:val="Bibliography"/>
      </w:pPr>
      <w:r>
        <w:t xml:space="preserve">Pol, M. van de,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80">
        <w:r>
          <w:rPr>
            <w:rStyle w:val="Hyperlink"/>
          </w:rPr>
          <w:t xml:space="preserve">10.1111/2041-210X.12590</w:t>
        </w:r>
      </w:hyperlink>
    </w:p>
    <w:bookmarkEnd w:id="81"/>
    <w:bookmarkStart w:id="83" w:name="ref-sniderhan_growth_2016"/>
    <w:p>
      <w:pPr>
        <w:pStyle w:val="Bibliography"/>
      </w:pPr>
      <w:r>
        <w:t xml:space="preserve">Sniderhan, A. E., &amp; Baltzer, J. L. (2016). Growth dynamics of black spruce (</w:t>
      </w:r>
      <w:r>
        <w:t xml:space="preserve"> </w:t>
      </w:r>
      <w:r>
        <w:rPr>
          <w:i/>
        </w:rPr>
        <w:t xml:space="preserve">Picea 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82">
        <w:r>
          <w:rPr>
            <w:rStyle w:val="Hyperlink"/>
          </w:rPr>
          <w:t xml:space="preserve">10.1002/2016JG003528</w:t>
        </w:r>
      </w:hyperlink>
    </w:p>
    <w:bookmarkEnd w:id="83"/>
    <w:bookmarkStart w:id="85"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84">
        <w:r>
          <w:rPr>
            <w:rStyle w:val="Hyperlink"/>
          </w:rPr>
          <w:t xml:space="preserve">10.1016/j.agrformet.2017.08.007</w:t>
        </w:r>
      </w:hyperlink>
    </w:p>
    <w:bookmarkEnd w:id="85"/>
    <w:bookmarkStart w:id="87"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86">
        <w:r>
          <w:rPr>
            <w:rStyle w:val="Hyperlink"/>
          </w:rPr>
          <w:t xml:space="preserve">10.1111/gcb.14120</w:t>
        </w:r>
      </w:hyperlink>
    </w:p>
    <w:bookmarkEnd w:id="87"/>
    <w:bookmarkStart w:id="8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88">
        <w:r>
          <w:rPr>
            <w:rStyle w:val="Hyperlink"/>
          </w:rPr>
          <w:t xml:space="preserve">10.5194/cp-9-1481-2013</w:t>
        </w:r>
      </w:hyperlink>
    </w:p>
    <w:bookmarkEnd w:id="89"/>
    <w:bookmarkStart w:id="91"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90">
        <w:r>
          <w:rPr>
            <w:rStyle w:val="Hyperlink"/>
          </w:rPr>
          <w:t xml:space="preserve">10.1016/j.agrformet.2017.07.015</w:t>
        </w:r>
      </w:hyperlink>
    </w:p>
    <w:bookmarkEnd w:id="91"/>
    <w:bookmarkStart w:id="93"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92">
        <w:r>
          <w:rPr>
            <w:rStyle w:val="Hyperlink"/>
          </w:rPr>
          <w:t xml:space="preserve">10.1007/s00442-013-2846-x</w:t>
        </w:r>
      </w:hyperlink>
    </w:p>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hyperlink" Id="rId78" Target="http://www.blackwell-synergy.com/doi/abs/10.1111/j.1461-0248.2006.00904.x" TargetMode="External" /><Relationship Type="http://schemas.openxmlformats.org/officeDocument/2006/relationships/hyperlink" Id="rId82" Target="https://doi.org/10.1002/2016JG003528" TargetMode="External" /><Relationship Type="http://schemas.openxmlformats.org/officeDocument/2006/relationships/hyperlink" Id="rId66" Target="https://doi.org/10.1002/joc.3711" TargetMode="External" /><Relationship Type="http://schemas.openxmlformats.org/officeDocument/2006/relationships/hyperlink" Id="rId92"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76" Target="https://doi.org/10.1007/s10584-016-1720-3" TargetMode="External" /><Relationship Type="http://schemas.openxmlformats.org/officeDocument/2006/relationships/hyperlink" Id="rId90" Target="https://doi.org/10.1016/j.agrformet.2017.07.015" TargetMode="External" /><Relationship Type="http://schemas.openxmlformats.org/officeDocument/2006/relationships/hyperlink" Id="rId84" Target="https://doi.org/10.1016/j.agrformet.2017.08.007" TargetMode="External" /><Relationship Type="http://schemas.openxmlformats.org/officeDocument/2006/relationships/hyperlink" Id="rId54" Target="https://doi.org/10.1038/nplants.2015.139" TargetMode="External" /><Relationship Type="http://schemas.openxmlformats.org/officeDocument/2006/relationships/hyperlink" Id="rId72" Target="https://doi.org/10.1038/s41467-018-07800-y" TargetMode="External" /><Relationship Type="http://schemas.openxmlformats.org/officeDocument/2006/relationships/hyperlink" Id="rId68" Target="https://doi.org/10.1038/s41597-020-0453-3" TargetMode="External" /><Relationship Type="http://schemas.openxmlformats.org/officeDocument/2006/relationships/hyperlink" Id="rId52" Target="https://doi.org/10.1111/1365-2435.12470" TargetMode="External" /><Relationship Type="http://schemas.openxmlformats.org/officeDocument/2006/relationships/hyperlink" Id="rId80" Target="https://doi.org/10.1111/2041-210X.12590" TargetMode="External" /><Relationship Type="http://schemas.openxmlformats.org/officeDocument/2006/relationships/hyperlink" Id="rId58" Target="https://doi.org/10.1111/ele.12650" TargetMode="External" /><Relationship Type="http://schemas.openxmlformats.org/officeDocument/2006/relationships/hyperlink" Id="rId50" Target="https://doi.org/10.1111/gcb.12712" TargetMode="External" /><Relationship Type="http://schemas.openxmlformats.org/officeDocument/2006/relationships/hyperlink" Id="rId60" Target="https://doi.org/10.1111/gcb.13208" TargetMode="External" /><Relationship Type="http://schemas.openxmlformats.org/officeDocument/2006/relationships/hyperlink" Id="rId56" Target="https://doi.org/10.1111/gcb.13535" TargetMode="External" /><Relationship Type="http://schemas.openxmlformats.org/officeDocument/2006/relationships/hyperlink" Id="rId86" Target="https://doi.org/10.1111/gcb.14120" TargetMode="External" /><Relationship Type="http://schemas.openxmlformats.org/officeDocument/2006/relationships/hyperlink" Id="rId74" Target="https://doi.org/10.1111/gcb.14273" TargetMode="External" /><Relationship Type="http://schemas.openxmlformats.org/officeDocument/2006/relationships/hyperlink" Id="rId70" Target="https://doi.org/10.1111/nph.15906" TargetMode="External" /><Relationship Type="http://schemas.openxmlformats.org/officeDocument/2006/relationships/hyperlink" Id="rId62" Target="https://doi.org/10.1175/JCLI3800.1" TargetMode="External" /><Relationship Type="http://schemas.openxmlformats.org/officeDocument/2006/relationships/hyperlink" Id="rId64" Target="https://doi.org/10.2307/1937545" TargetMode="External" /><Relationship Type="http://schemas.openxmlformats.org/officeDocument/2006/relationships/hyperlink" Id="rId88"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2" Target="https://github.com/EcoClimLab/ForestGEO-climate-sensitivity/issues/46"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8" Target="http://www.blackwell-synergy.com/doi/abs/10.1111/j.1461-0248.2006.00904.x" TargetMode="External" /><Relationship Type="http://schemas.openxmlformats.org/officeDocument/2006/relationships/hyperlink" Id="rId82" Target="https://doi.org/10.1002/2016JG003528" TargetMode="External" /><Relationship Type="http://schemas.openxmlformats.org/officeDocument/2006/relationships/hyperlink" Id="rId66" Target="https://doi.org/10.1002/joc.3711" TargetMode="External" /><Relationship Type="http://schemas.openxmlformats.org/officeDocument/2006/relationships/hyperlink" Id="rId92"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76" Target="https://doi.org/10.1007/s10584-016-1720-3" TargetMode="External" /><Relationship Type="http://schemas.openxmlformats.org/officeDocument/2006/relationships/hyperlink" Id="rId90" Target="https://doi.org/10.1016/j.agrformet.2017.07.015" TargetMode="External" /><Relationship Type="http://schemas.openxmlformats.org/officeDocument/2006/relationships/hyperlink" Id="rId84" Target="https://doi.org/10.1016/j.agrformet.2017.08.007" TargetMode="External" /><Relationship Type="http://schemas.openxmlformats.org/officeDocument/2006/relationships/hyperlink" Id="rId54" Target="https://doi.org/10.1038/nplants.2015.139" TargetMode="External" /><Relationship Type="http://schemas.openxmlformats.org/officeDocument/2006/relationships/hyperlink" Id="rId72" Target="https://doi.org/10.1038/s41467-018-07800-y" TargetMode="External" /><Relationship Type="http://schemas.openxmlformats.org/officeDocument/2006/relationships/hyperlink" Id="rId68" Target="https://doi.org/10.1038/s41597-020-0453-3" TargetMode="External" /><Relationship Type="http://schemas.openxmlformats.org/officeDocument/2006/relationships/hyperlink" Id="rId52" Target="https://doi.org/10.1111/1365-2435.12470" TargetMode="External" /><Relationship Type="http://schemas.openxmlformats.org/officeDocument/2006/relationships/hyperlink" Id="rId80" Target="https://doi.org/10.1111/2041-210X.12590" TargetMode="External" /><Relationship Type="http://schemas.openxmlformats.org/officeDocument/2006/relationships/hyperlink" Id="rId58" Target="https://doi.org/10.1111/ele.12650" TargetMode="External" /><Relationship Type="http://schemas.openxmlformats.org/officeDocument/2006/relationships/hyperlink" Id="rId50" Target="https://doi.org/10.1111/gcb.12712" TargetMode="External" /><Relationship Type="http://schemas.openxmlformats.org/officeDocument/2006/relationships/hyperlink" Id="rId60" Target="https://doi.org/10.1111/gcb.13208" TargetMode="External" /><Relationship Type="http://schemas.openxmlformats.org/officeDocument/2006/relationships/hyperlink" Id="rId56" Target="https://doi.org/10.1111/gcb.13535" TargetMode="External" /><Relationship Type="http://schemas.openxmlformats.org/officeDocument/2006/relationships/hyperlink" Id="rId86" Target="https://doi.org/10.1111/gcb.14120" TargetMode="External" /><Relationship Type="http://schemas.openxmlformats.org/officeDocument/2006/relationships/hyperlink" Id="rId74" Target="https://doi.org/10.1111/gcb.14273" TargetMode="External" /><Relationship Type="http://schemas.openxmlformats.org/officeDocument/2006/relationships/hyperlink" Id="rId70" Target="https://doi.org/10.1111/nph.15906" TargetMode="External" /><Relationship Type="http://schemas.openxmlformats.org/officeDocument/2006/relationships/hyperlink" Id="rId62" Target="https://doi.org/10.1175/JCLI3800.1" TargetMode="External" /><Relationship Type="http://schemas.openxmlformats.org/officeDocument/2006/relationships/hyperlink" Id="rId64" Target="https://doi.org/10.2307/1937545" TargetMode="External" /><Relationship Type="http://schemas.openxmlformats.org/officeDocument/2006/relationships/hyperlink" Id="rId88"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2" Target="https://github.com/EcoClimLab/ForestGEO-climate-sensitivity/issues/46"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2020-07-30T15:19:33Z</dcterms:created>
  <dcterms:modified xsi:type="dcterms:W3CDTF">2020-07-30T15:19:33Z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@tumajer_increasing_2017; @alfaro-sanchez_growth_2017; @helcoski_growing_2019</vt:lpwstr>
  </property>
  <property fmtid="{D5CDD505-2E9C-101B-9397-08002B2CF9AE}" pid="5" name="output">
    <vt:lpwstr>word_document</vt:lpwstr>
  </property>
</Properties>
</file>